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color w:val="000000"/>
          <w:spacing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pacing w:val="0"/>
          <w:sz w:val="28"/>
          <w:szCs w:val="28"/>
          <w:lang w:val="ru-RU"/>
        </w:rPr>
        <w:t xml:space="preserve">Проблемные </w:t>
      </w:r>
      <w:r>
        <w:rPr>
          <w:rFonts w:ascii="Times New Roman" w:hAnsi="Times New Roman" w:eastAsia="Times New Roman" w:cs="Times New Roman"/>
          <w:b/>
          <w:color w:val="000000"/>
          <w:spacing w:val="0"/>
          <w:sz w:val="28"/>
          <w:szCs w:val="28"/>
          <w:lang w:val="ru-RU"/>
        </w:rPr>
        <w:t xml:space="preserve">вопросы возникшие в процессе проведения оценки обеспечения готовности к отопительному периоду 2025-2026 гг. муниципальных образований и объектов </w:t>
      </w:r>
      <w:r>
        <w:rPr>
          <w:rFonts w:ascii="Times New Roman" w:hAnsi="Times New Roman" w:eastAsia="Times New Roman" w:cs="Times New Roman"/>
          <w:b/>
          <w:color w:val="000000"/>
          <w:spacing w:val="0"/>
          <w:sz w:val="28"/>
          <w:szCs w:val="28"/>
          <w:lang w:val="ru-RU"/>
        </w:rPr>
        <w:t xml:space="preserve">теплоснабжения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pacing w:val="0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едеральным законом от 08.08.2024 № 311-ФЗ «О внесении изменении в Федеральный закон «О теплоснабжении» и отдельные законодательные акты Российской Федерации» были внесены изменения в Федеральный закон от 27.07.2010 № 190-ФЗ «О теплоснабжении» (далее – Зако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 о теплоснабжении), вступившие в силу с 01.03.2025, и предусматривающие порядок оценки обеспечения готовности к отопительному периоду органов местного самоуправления, субъектов теплоэнергетики и потребителей тепловой энергии в соответствии с правилами обес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ечения готовности к отопительному периоду, утвержденными федеральным органом исполнительной власти, уполномоченным на реализацию государственной политики в сфере теплоснабжения. В соответствии с частью 2 статьи 20 Закона о теплоснабжении правила обеспечени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 готовности к отопительному периоду включают в себя подтверждение лицами, обязанными обеспечить готовность к отопительному периоду, требований безопасности в сфере теплоснабжения, несоблюдение которых влияет на безаварийную работу объектов теплоснабжения. 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равила обеспечения готовности к отопительному периоду и Порядок проведения оценки обеспечения готовности к отопительному периоду утверждены приказом Минэнерго России от 13.11.2024 № 2234 (далее соответственно – Правила и Порядок) и вступили в силу с 01.03.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2025.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pacing w:val="0"/>
          <w:sz w:val="28"/>
          <w:szCs w:val="28"/>
          <w:lang w:val="ru-RU"/>
        </w:rPr>
        <w:t xml:space="preserve">Основные </w:t>
      </w:r>
      <w:r>
        <w:rPr>
          <w:rFonts w:ascii="Times New Roman" w:hAnsi="Times New Roman" w:eastAsia="Times New Roman" w:cs="Times New Roman"/>
          <w:b/>
          <w:color w:val="000000"/>
          <w:spacing w:val="0"/>
          <w:sz w:val="28"/>
          <w:szCs w:val="28"/>
          <w:lang w:val="ru-RU"/>
        </w:rPr>
        <w:t xml:space="preserve">изменения в рамках оценки обеспечения готовности к </w:t>
      </w:r>
      <w:r>
        <w:rPr>
          <w:rFonts w:ascii="Times New Roman" w:hAnsi="Times New Roman" w:eastAsia="Times New Roman" w:cs="Times New Roman"/>
          <w:b/>
          <w:color w:val="000000"/>
          <w:spacing w:val="0"/>
          <w:sz w:val="28"/>
          <w:szCs w:val="28"/>
          <w:lang w:val="ru-RU"/>
        </w:rPr>
        <w:t xml:space="preserve">отопительному периоду</w:t>
      </w:r>
      <w:r>
        <w:rPr>
          <w:rFonts w:ascii="Times New Roman" w:hAnsi="Times New Roman" w:eastAsia="Times New Roman" w:cs="Times New Roman"/>
          <w:b/>
          <w:color w:val="000000"/>
          <w:spacing w:val="0"/>
          <w:sz w:val="28"/>
          <w:szCs w:val="28"/>
          <w:lang w:val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1.   Изменен перечень лиц, которые должны обеспечить готовность к отопительному периоду.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2. Законодательно закреплена необходимость выполнения требований промышленной безопасности при подготовке к отопительному периоду.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3. Установлена административная ответственность за неустранение нарушений, указанных в акте, содержащем оценку обеспечения готовности к отопительному периоду для лиц, которые должны обеспечить готовность к отопительному периоду.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4. Предусмотрена оценка готовности к отопительному периоду с применением оценочных листов с определением уровня готовности к отопительному периоду, с использованием индексов готовности.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. Оценка проводится по каждому объекту (котельная, участок тепловой сети) в отдельности. Для оцениваемого лица (теплоснабжающей организации, осуществляющей деятельность в пределах муниципального образования), имеющего несколько объектов оценки (котельных и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 (или) участков тепловых сетей), итоговый индекс готовности определяется как среднеарифметическое значение индексов готовности объектов оценки обеспечения готовности.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pacing w:val="0"/>
          <w:sz w:val="28"/>
          <w:szCs w:val="28"/>
          <w:lang w:val="ru-RU"/>
        </w:rPr>
        <w:t xml:space="preserve">Оценка готовности </w:t>
      </w:r>
      <w:r>
        <w:rPr>
          <w:rFonts w:ascii="Times New Roman" w:hAnsi="Times New Roman" w:eastAsia="Times New Roman" w:cs="Times New Roman"/>
          <w:b/>
          <w:color w:val="000000"/>
          <w:spacing w:val="0"/>
          <w:sz w:val="28"/>
          <w:szCs w:val="28"/>
          <w:lang w:val="ru-RU"/>
        </w:rPr>
        <w:t xml:space="preserve">к отопительному периоду муниципального </w:t>
      </w:r>
      <w:r>
        <w:rPr>
          <w:rFonts w:ascii="Times New Roman" w:hAnsi="Times New Roman" w:eastAsia="Times New Roman" w:cs="Times New Roman"/>
          <w:b/>
          <w:color w:val="000000"/>
          <w:spacing w:val="0"/>
          <w:sz w:val="28"/>
          <w:szCs w:val="28"/>
          <w:lang w:val="ru-RU"/>
        </w:rPr>
        <w:t xml:space="preserve">образования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pacing w:val="0"/>
          <w:sz w:val="28"/>
          <w:szCs w:val="28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Готовность муниципального образования к отопительному периоду определяется: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</w:rPr>
      </w:r>
    </w:p>
    <w:p>
      <w:pPr>
        <w:pStyle w:val="804"/>
        <w:numPr>
          <w:ilvl w:val="0"/>
          <w:numId w:val="6"/>
        </w:numPr>
        <w:ind w:left="0"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наличием утвержденного актуализированного порядка (плана)  действий по ликвидации последствий аварийных ситуаций в сфере  теплоснабжения в муниципальном образовании;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</w:rPr>
      </w:r>
    </w:p>
    <w:p>
      <w:pPr>
        <w:pStyle w:val="804"/>
        <w:numPr>
          <w:ilvl w:val="0"/>
          <w:numId w:val="5"/>
        </w:numPr>
        <w:ind w:left="0" w:right="0" w:firstLine="0"/>
        <w:jc w:val="both"/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наличием утверждённой актуализированной схемы теплоснабжения;</w:t>
      </w:r>
      <w:r>
        <w:rPr>
          <w:rFonts w:ascii="Times New Roman" w:hAnsi="Times New Roman" w:cs="Times New Roman"/>
        </w:rPr>
      </w:r>
    </w:p>
    <w:p>
      <w:pPr>
        <w:pStyle w:val="804"/>
        <w:numPr>
          <w:ilvl w:val="0"/>
          <w:numId w:val="5"/>
        </w:numPr>
        <w:ind w:left="0"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обеспечением  подготовки к отопительному периоду бесхозяйных объектов теплоснабжения;</w:t>
      </w:r>
      <w:r>
        <w:rPr>
          <w:rFonts w:ascii="Times New Roman" w:hAnsi="Times New Roman" w:cs="Times New Roman"/>
        </w:rPr>
      </w:r>
      <w:r/>
    </w:p>
    <w:p>
      <w:pPr>
        <w:pStyle w:val="804"/>
        <w:numPr>
          <w:ilvl w:val="0"/>
          <w:numId w:val="3"/>
        </w:numPr>
        <w:ind w:left="0" w:right="0" w:firstLine="0"/>
        <w:jc w:val="both"/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проведением оценки обеспечения готовности к отопительному периоду теплоснабжающих и теплосетевых организаций, потребителей тепловой энергии, владельцев тепловых сетей, которые не являются теплосетевыми организациями.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28"/>
          <w:szCs w:val="28"/>
          <w:highlight w:val="none"/>
          <w:u w:val="single"/>
        </w:rPr>
        <w:t xml:space="preserve">Основные проблемы связанные с подготовкой к отопительному периоду:</w:t>
      </w:r>
      <w:r>
        <w:rPr>
          <w:rFonts w:ascii="Times New Roman" w:hAnsi="Times New Roman" w:cs="Times New Roman"/>
          <w:color w:val="000000"/>
          <w:spacing w:val="0"/>
          <w:sz w:val="28"/>
          <w:szCs w:val="28"/>
          <w:highlight w:val="none"/>
          <w:u w:val="single"/>
        </w:rPr>
      </w:r>
    </w:p>
    <w:p>
      <w:pPr>
        <w:pStyle w:val="804"/>
        <w:numPr>
          <w:ilvl w:val="0"/>
          <w:numId w:val="2"/>
        </w:numPr>
        <w:ind w:left="0" w:right="0" w:firstLine="0"/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pacing w:val="0"/>
          <w:sz w:val="28"/>
          <w:szCs w:val="28"/>
          <w:highlight w:val="none"/>
        </w:rPr>
        <w:t xml:space="preserve">Отсутствие профильного квалифицированного персонала;</w:t>
      </w:r>
      <w:r>
        <w:rPr>
          <w:rFonts w:ascii="Times New Roman" w:hAnsi="Times New Roman" w:cs="Times New Roman"/>
          <w:color w:val="000000"/>
          <w:spacing w:val="0"/>
          <w:sz w:val="28"/>
          <w:szCs w:val="28"/>
          <w:highlight w:val="none"/>
        </w:rPr>
      </w:r>
    </w:p>
    <w:p>
      <w:pPr>
        <w:pStyle w:val="804"/>
        <w:numPr>
          <w:ilvl w:val="0"/>
          <w:numId w:val="1"/>
        </w:numPr>
        <w:ind w:left="0" w:right="0" w:firstLine="0"/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pacing w:val="0"/>
          <w:sz w:val="28"/>
          <w:szCs w:val="28"/>
          <w:highlight w:val="none"/>
        </w:rPr>
        <w:t xml:space="preserve">Частичное либо полное игнорирование действующих нормативных документов и правовых положений, регулирующих Правила и Порядок подготовки к отопительному периоду.</w:t>
      </w:r>
      <w:r>
        <w:rPr>
          <w:rFonts w:ascii="Times New Roman" w:hAnsi="Times New Roman" w:cs="Times New Roman"/>
          <w:color w:val="000000"/>
          <w:spacing w:val="0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pacing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pacing w:val="0"/>
          <w:sz w:val="28"/>
          <w:szCs w:val="28"/>
          <w:highlight w:val="none"/>
          <w:lang w:val="ru-RU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color w:val="000000"/>
          <w:spacing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pacing w:val="0"/>
          <w:sz w:val="28"/>
          <w:szCs w:val="28"/>
          <w:lang w:val="ru-RU"/>
        </w:rPr>
        <w:t xml:space="preserve">Требования </w:t>
      </w:r>
      <w:r>
        <w:rPr>
          <w:rFonts w:ascii="Times New Roman" w:hAnsi="Times New Roman" w:eastAsia="Times New Roman" w:cs="Times New Roman"/>
          <w:b/>
          <w:color w:val="000000"/>
          <w:spacing w:val="0"/>
          <w:sz w:val="28"/>
          <w:szCs w:val="28"/>
          <w:lang w:val="ru-RU"/>
        </w:rPr>
        <w:t xml:space="preserve">к схемам </w:t>
      </w:r>
      <w:r>
        <w:rPr>
          <w:rFonts w:ascii="Times New Roman" w:hAnsi="Times New Roman" w:eastAsia="Times New Roman" w:cs="Times New Roman"/>
          <w:b/>
          <w:color w:val="000000"/>
          <w:spacing w:val="0"/>
          <w:sz w:val="28"/>
          <w:szCs w:val="28"/>
          <w:lang w:val="ru-RU"/>
        </w:rPr>
        <w:t xml:space="preserve">теплоснабжения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sz w:val="28"/>
          <w:szCs w:val="28"/>
          <w:highlight w:val="none"/>
          <w:lang w:val="ru-RU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остановлением Правительства Российской Федерации от 22.02.2012 № 154 утверждены Требования к схемам теплоснабжения и Требования к порядку разработки утверждения схем теплоснабжения, определяющие объем информации, подлежащий ежегодной актуализации, и порядо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к проведения (в том числе сроки) такой актуализации (разработки новой схемы теплоснабжения). 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аким образом, если схема теплоснабжения муниципального образования утверждена в 2024 году, а в 2025 году не была актуализирована, то при проверке готовности муниципального образования к отопительному периоду такая схема теплоснабжения будет считаться не ак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туализированной и значение коэффициента будет равно 0, соответственно, общий индекс готовности муниципального образования будет на уровне 0,8 и, следовательно,  уровень готовности муниципального образования будет «готов с условиями».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highlight w:val="none"/>
          <w:lang w:val="ru-RU"/>
        </w:rPr>
        <w:t xml:space="preserve">Основные проблемы, связанные с актуализацией схем теплоснабжения является существенное подорожание проведение данных работ и в связи с чем данные затраты не вписываются в заложенный трехлетний бюджет муниципального образования. 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highlight w:val="none"/>
          <w:lang w:val="ru-RU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pacing w:val="0"/>
          <w:sz w:val="28"/>
          <w:szCs w:val="28"/>
          <w:lang w:val="ru-RU"/>
        </w:rPr>
        <w:t xml:space="preserve">Определение </w:t>
      </w:r>
      <w:r>
        <w:rPr>
          <w:rFonts w:ascii="Times New Roman" w:hAnsi="Times New Roman" w:eastAsia="Times New Roman" w:cs="Times New Roman"/>
          <w:b/>
          <w:color w:val="000000"/>
          <w:spacing w:val="0"/>
          <w:sz w:val="28"/>
          <w:szCs w:val="28"/>
          <w:lang w:val="ru-RU"/>
        </w:rPr>
        <w:t xml:space="preserve">объектов теплоснабжения, подлежащих проверке комиссией муниципального образования при подготовке к отопительному </w:t>
      </w:r>
      <w:r>
        <w:rPr>
          <w:rFonts w:ascii="Times New Roman" w:hAnsi="Times New Roman" w:eastAsia="Times New Roman" w:cs="Times New Roman"/>
          <w:b/>
          <w:color w:val="000000"/>
          <w:spacing w:val="0"/>
          <w:sz w:val="28"/>
          <w:szCs w:val="28"/>
          <w:lang w:val="ru-RU"/>
        </w:rPr>
        <w:t xml:space="preserve">сезону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pacing w:val="0"/>
          <w:sz w:val="28"/>
          <w:szCs w:val="28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u w:val="single"/>
          <w:lang w:val="ru-RU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u w:val="single"/>
          <w:lang w:val="ru-RU"/>
        </w:rPr>
        <w:t xml:space="preserve"> соответствии с пунктом 8 Порядка в рамках проведения оценки обеспечения готовности комиссия осуществляет оценку готовности на предмет выполнения требований, установленных Правилами, и в отношении каждого объекта оценки обеспечения готовности устанавливает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u w:val="single"/>
          <w:lang w:val="ru-RU"/>
        </w:rPr>
        <w:t xml:space="preserve"> их уровень готовности к отопительному периоду на основании значения индекса готовности. 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u w:val="single"/>
          <w:lang w:val="ru-RU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u w:val="single"/>
          <w:lang w:val="ru-RU"/>
        </w:rPr>
        <w:t xml:space="preserve">В соответствии с изложенным под объектом оценки обеспечения готовности следует понимать источники теплоснабжения, тепловые сети и теплопотребляющие установки. 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u w:val="single"/>
          <w:lang w:val="ru-RU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pacing w:val="0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pacing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pacing w:val="0"/>
          <w:sz w:val="28"/>
          <w:szCs w:val="28"/>
          <w:lang w:val="ru-RU"/>
        </w:rPr>
        <w:t xml:space="preserve">Оформление </w:t>
      </w:r>
      <w:r>
        <w:rPr>
          <w:rFonts w:ascii="Times New Roman" w:hAnsi="Times New Roman" w:eastAsia="Times New Roman" w:cs="Times New Roman"/>
          <w:b/>
          <w:color w:val="000000"/>
          <w:spacing w:val="0"/>
          <w:sz w:val="28"/>
          <w:szCs w:val="28"/>
          <w:lang w:val="ru-RU"/>
        </w:rPr>
        <w:t xml:space="preserve">решения комиссии о проведении осмотра объектов </w:t>
      </w:r>
      <w:r>
        <w:rPr>
          <w:rFonts w:ascii="Times New Roman" w:hAnsi="Times New Roman" w:eastAsia="Times New Roman" w:cs="Times New Roman"/>
          <w:b/>
          <w:color w:val="000000"/>
          <w:spacing w:val="0"/>
          <w:sz w:val="28"/>
          <w:szCs w:val="28"/>
          <w:lang w:val="ru-RU"/>
        </w:rPr>
        <w:t xml:space="preserve">оценки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b/>
          <w:bCs/>
          <w:color w:val="000000"/>
          <w:spacing w:val="0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огласно пункту 18 Порядка в целях проведения оценки обеспечения готовности комиссия рассматривает документы, подтверждающие выполнение требований по обеспечению готовности. По решению комиссии проводится осмотр объектов оценки обеспечения готовности. По ре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ультатам осмотра объекта оценки комиссия вправе принять решение о внесении изменений в оценочный лист с установлением новых замечаний с указанием сроков их устранения и нового индекса готовности оцениваемого объекта, при этом осмотр осуществляется в рамках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 требований, установленных Правилами, а внесение замечаний, выходящих за пределы Правил и оценочных листов Порядком не предусмотрено. 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pacing w:val="0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pacing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pacing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pacing w:val="0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pacing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pacing w:val="0"/>
          <w:sz w:val="28"/>
          <w:szCs w:val="28"/>
          <w:lang w:val="ru-RU"/>
        </w:rPr>
        <w:t xml:space="preserve">Устранение замечаний после получения паспорта </w:t>
      </w:r>
      <w:r>
        <w:rPr>
          <w:rFonts w:ascii="Times New Roman" w:hAnsi="Times New Roman" w:eastAsia="Times New Roman" w:cs="Times New Roman"/>
          <w:b/>
          <w:color w:val="000000"/>
          <w:spacing w:val="0"/>
          <w:sz w:val="28"/>
          <w:szCs w:val="28"/>
          <w:lang w:val="ru-RU"/>
        </w:rPr>
        <w:t xml:space="preserve">готовности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b/>
          <w:bCs/>
          <w:color w:val="000000"/>
          <w:spacing w:val="0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амечания, выявленные при оценке обеспечения готовности к отопительному периоду, внесенные в оценочный лист для расчета индекса готовности к отопительному периоду, в соответствии с положениями статьи 20 Федерального закона от 27.07.2010 № 190-ФЗ «О теплосна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бжении» подлежат обязательному устранению в установленные актом сроки.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еустранение ТСО выявленных замечаний, указанных в акте, содержащем оценку обеспечения готовности к отопительному периоду, в установленные сроки, образует состав административного правонарушения, ответственность за которое установлена частью 7 статьи 9.24 К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одекса Российской Федерации об административных правонарушениях (введена в действие Федеральным законом от 27.10.2025 № 389-ФЗ).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При поступлении уведомлений об устранении замечаний от ТСО, в отношении которых были выданы оценочные листы с замечаниями, необходимо провести оценку обеспечения готовности на предмет устранения ранее выданных замечаний.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000000"/>
          <w:spacing w:val="0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highlight w:val="none"/>
          <w:lang w:val="ru-RU"/>
        </w:rPr>
        <w:t xml:space="preserve">Фиксация устранения замечаний осуществляется в соответствии с пунктами 10, 11, 12 Порядка комиссией по оценке обеспечения готовности к отопительному периоду с оформлением нового акта и оценочного листа для расчета индекса готовности к отопительному периоду.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highlight w:val="none"/>
          <w:lang w:val="ru-RU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highlight w:val="none"/>
          <w:lang w:val="ru-RU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highlight w:val="none"/>
          <w:lang w:val="ru-RU"/>
        </w:rPr>
        <w:t xml:space="preserve">едеральный закон от 27.10.2025 № 389-ФЗ «О внесении изменений в Кодекс Российской Федерации об административных правонарушениях» вносит изменения в статью 9.24 КоАП РФ: вводятся новые составы административных правонарушений, предусматривающие административ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highlight w:val="none"/>
          <w:lang w:val="ru-RU"/>
        </w:rPr>
        <w:t xml:space="preserve">ную ответственность за неустранение выявленных нарушений, перечисленных в акте, содержащем оценку обеспечения готовности к отопительному периоду, в установленные сроки.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highlight w:val="none"/>
          <w:lang w:val="ru-RU"/>
        </w:rPr>
        <w:t xml:space="preserve">Так, указанное правонарушение, совершенное: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highlight w:val="none"/>
          <w:lang w:val="ru-RU"/>
        </w:rPr>
        <w:t xml:space="preserve">муниципальными образованиями, повлечет предупреждение или наложение административного штрафа на должностных лиц в размере от 5 тыс. до 10 тыс. рублей (ч. 6 ст. 9.24 КоАП РФ);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highlight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highlight w:val="none"/>
          <w:lang w:val="ru-RU"/>
        </w:rPr>
        <w:t xml:space="preserve">еплоснабжающими и теплосетевыми организациями, а также владельцами тепловых сетей, не являющимися теплосетевыми организациями, повлечет наложение административного штрафа на должностных лиц в размере от 5 тыс. до 10 тыс. рублей; на юридических лиц - от 20 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highlight w:val="none"/>
          <w:lang w:val="ru-RU"/>
        </w:rPr>
        <w:t xml:space="preserve">тыс. до 40 тыс. рублей (ч.7 ст. 9.24 КоАП РФ).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000000"/>
          <w:spacing w:val="0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pacing w:val="0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pacing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pacing w:val="0"/>
          <w:sz w:val="28"/>
          <w:szCs w:val="28"/>
          <w:lang w:val="ru-RU"/>
        </w:rPr>
        <w:t xml:space="preserve">Итоги проведенной оценки уровня подготовленности к отопительному сезону 2025-2026 </w:t>
      </w:r>
      <w:r>
        <w:rPr>
          <w:rFonts w:ascii="Times New Roman" w:hAnsi="Times New Roman" w:eastAsia="Times New Roman" w:cs="Times New Roman"/>
          <w:b/>
          <w:color w:val="000000"/>
          <w:spacing w:val="0"/>
          <w:sz w:val="28"/>
          <w:szCs w:val="28"/>
          <w:lang w:val="ru-RU"/>
        </w:rPr>
        <w:t xml:space="preserve">годов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pacing w:val="0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Получение паспорта готовности к отопительному как теплоснабжающими организациями, так и муниципальными образованиями не освобождает их от необходимости устранения выявленных нарушений обязательных требований.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Па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спорт готовности – не индульгенция.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Теплоснабжающим организациям, муниципальным образованиям  необходимо на постоянной основе выполнять требования  законодательства в сфере теплоснабжения  с целью обеспечения надежности и безопасности теплоснабжения.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Работа по  оценке обеспечения готовности к отопительному сезону 2025-2026 годов по новым Правилам показала, что   действующие Правила не предусматривают критерии оценки, связанные с надежностью систем теплоснабжения и выполнению мероприятий по ее повышению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(анализ схем теплоснабжения и принятие участия в их разработке и актуализации). Необходима корректировка Правил, направленная на уточнение весовых коэффициентов при расчете индексов готовности и дополнения критериями по надежности систем тепло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снабжения и ре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ализации мероприятий по их повышению.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840"/>
    <w:link w:val="819"/>
    <w:uiPriority w:val="35"/>
    <w:rPr>
      <w:b/>
      <w:bCs/>
      <w:color w:val="4f81bd" w:themeColor="accent1"/>
      <w:sz w:val="18"/>
      <w:szCs w:val="18"/>
    </w:rPr>
  </w:style>
  <w:style w:type="table" w:styleId="654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5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6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7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8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9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1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3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4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5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6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7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88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9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0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blStylePr w:type="band1Horz">
      <w:tcPr>
        <w:shd w:val="clear" w:color="ffffff" w:themeColor="accent1" w:themeTint="75" w:fill="aec5e1" w:themeFill="accent1" w:themeFillTint="75"/>
      </w:tcPr>
    </w:tblStylePr>
    <w:tblStylePr w:type="band1Vert">
      <w:tcPr>
        <w:shd w:val="clear" w:color="ffffff" w:themeColor="accent1" w:themeTint="75" w:fill="aec5e1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1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blStylePr w:type="band1Horz">
      <w:tcPr>
        <w:shd w:val="clear" w:color="ffffff" w:themeColor="accent2" w:themeTint="75" w:fill="e2afad" w:themeFill="accent2" w:themeFillTint="75"/>
      </w:tcPr>
    </w:tblStylePr>
    <w:tblStylePr w:type="band1Vert">
      <w:tcPr>
        <w:shd w:val="clear" w:color="ffffff" w:themeColor="accent2" w:themeTint="75" w:fill="e2af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2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blStylePr w:type="band1Horz">
      <w:tcPr>
        <w:shd w:val="clear" w:color="ffffff" w:themeColor="accent3" w:themeTint="75" w:fill="d1e0b3" w:themeFill="accent3" w:themeFillTint="75"/>
      </w:tcPr>
    </w:tblStylePr>
    <w:tblStylePr w:type="band1Vert">
      <w:tcPr>
        <w:shd w:val="clear" w:color="ffffff" w:themeColor="accent3" w:themeTint="75" w:fill="d1e0b3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5b8d4" w:themeFill="accent4" w:themeFillTint="75"/>
      </w:tcPr>
    </w:tblStylePr>
    <w:tblStylePr w:type="band1Vert">
      <w:tcPr>
        <w:shd w:val="clear" w:color="ffffff" w:themeColor="accent4" w:themeTint="75" w:fill="c5b8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cd9e5" w:themeFill="accent5" w:themeFillTint="75"/>
      </w:tcPr>
    </w:tblStylePr>
    <w:tblStylePr w:type="band1Vert">
      <w:tcPr>
        <w:shd w:val="clear" w:color="ffffff" w:themeColor="accent5" w:themeTint="75" w:fill="acd9e5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blStylePr w:type="band1Horz">
      <w:tcPr>
        <w:shd w:val="clear" w:color="ffffff" w:themeColor="accent6" w:themeTint="75" w:fill="fbcfaa" w:themeFill="accent6" w:themeFillTint="75"/>
      </w:tcPr>
    </w:tblStylePr>
    <w:tblStylePr w:type="band1Vert">
      <w:tcPr>
        <w:shd w:val="clear" w:color="ffffff" w:themeColor="accent6" w:themeTint="75" w:fill="fbcf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96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7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6da5" w:themeColor="accent1" w:themeTint="80" w:themeShade="95"/>
      </w:rPr>
    </w:tblStylePr>
    <w:tblStylePr w:type="firstRow">
      <w:rPr>
        <w:b/>
        <w:color w:val="3e6da5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</w:tblStylePr>
    <w:tblStylePr w:type="lastRow">
      <w:rPr>
        <w:b/>
        <w:color w:val="3e6da5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8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9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32f" w:themeColor="accent3" w:themeTint="FE" w:themeShade="95"/>
      </w:rPr>
    </w:tblStylePr>
    <w:tblStylePr w:type="firstRow">
      <w:rPr>
        <w:b/>
        <w:color w:val="5c73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</w:tblStylePr>
    <w:tblStylePr w:type="lastRow">
      <w:rPr>
        <w:b/>
        <w:color w:val="5c73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0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1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2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3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6da5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32f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879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25408" w:themeColor="accent6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8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9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0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1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2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3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4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blStylePr w:type="band1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blStylePr w:type="band1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blStylePr w:type="band1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blStylePr w:type="band1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blStylePr w:type="band1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6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7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93f" w:themeColor="accent3" w:themeTint="98" w:themeShade="95"/>
      </w:rPr>
    </w:tblStylePr>
    <w:tblStylePr w:type="firstRow">
      <w:rPr>
        <w:b/>
        <w:color w:val="7c99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</w:tblStylePr>
    <w:tblStylePr w:type="lastRow">
      <w:rPr>
        <w:b/>
        <w:color w:val="7c99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9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ba3" w:themeColor="accent5" w:themeTint="9A" w:themeShade="95"/>
      </w:rPr>
    </w:tblStylePr>
    <w:tblStylePr w:type="firstRow">
      <w:rPr>
        <w:b/>
        <w:color w:val="338ba3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</w:tblStylePr>
    <w:tblStylePr w:type="lastRow">
      <w:rPr>
        <w:b/>
        <w:color w:val="338ba3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1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d680a" w:themeColor="accent6" w:themeTint="98" w:themeShade="95"/>
      </w:rPr>
    </w:tblStylePr>
    <w:tblStylePr w:type="firstRow">
      <w:rPr>
        <w:b/>
        <w:color w:val="dd680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</w:tblStylePr>
    <w:tblStylePr w:type="lastRow">
      <w:rPr>
        <w:b/>
        <w:color w:val="dd680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2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3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b4b72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styleId="754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</w:tblStylePr>
  </w:style>
  <w:style w:type="table" w:styleId="755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9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</w:tblStylePr>
  </w:style>
  <w:style w:type="table" w:styleId="756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</w:tblStylePr>
  </w:style>
  <w:style w:type="table" w:styleId="757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ba3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</w:tblStylePr>
  </w:style>
  <w:style w:type="table" w:styleId="758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d680a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</w:tblStylePr>
  </w:style>
  <w:style w:type="table" w:styleId="759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0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761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762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763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764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5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6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7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768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769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770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771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2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3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4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5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6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7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78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9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0">
    <w:name w:val="Heading 1"/>
    <w:basedOn w:val="839"/>
    <w:next w:val="839"/>
    <w:link w:val="789"/>
    <w:uiPriority w:val="9"/>
    <w:qFormat/>
    <w:pPr>
      <w:keepLines/>
      <w:keepNext/>
      <w:spacing w:before="360" w:after="80"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81">
    <w:name w:val="Heading 2"/>
    <w:basedOn w:val="839"/>
    <w:next w:val="839"/>
    <w:link w:val="790"/>
    <w:uiPriority w:val="9"/>
    <w:unhideWhenUsed/>
    <w:qFormat/>
    <w:pPr>
      <w:keepLines/>
      <w:keepNext/>
      <w:spacing w:before="160" w:after="80"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82">
    <w:name w:val="Heading 3"/>
    <w:basedOn w:val="839"/>
    <w:next w:val="839"/>
    <w:link w:val="791"/>
    <w:uiPriority w:val="9"/>
    <w:unhideWhenUsed/>
    <w:qFormat/>
    <w:pPr>
      <w:keepLines/>
      <w:keepNext/>
      <w:spacing w:before="160" w:after="80"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83">
    <w:name w:val="Heading 4"/>
    <w:basedOn w:val="839"/>
    <w:next w:val="839"/>
    <w:link w:val="792"/>
    <w:uiPriority w:val="9"/>
    <w:unhideWhenUsed/>
    <w:qFormat/>
    <w:pPr>
      <w:keepLines/>
      <w:keepNext/>
      <w:spacing w:before="80" w:after="40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84">
    <w:name w:val="Heading 5"/>
    <w:basedOn w:val="839"/>
    <w:next w:val="839"/>
    <w:link w:val="793"/>
    <w:uiPriority w:val="9"/>
    <w:unhideWhenUsed/>
    <w:qFormat/>
    <w:pPr>
      <w:keepLines/>
      <w:keepNext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85">
    <w:name w:val="Heading 6"/>
    <w:basedOn w:val="839"/>
    <w:next w:val="839"/>
    <w:link w:val="794"/>
    <w:uiPriority w:val="9"/>
    <w:unhideWhenUsed/>
    <w:qFormat/>
    <w:pPr>
      <w:keepLines/>
      <w:keepNext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86">
    <w:name w:val="Heading 7"/>
    <w:basedOn w:val="839"/>
    <w:next w:val="839"/>
    <w:link w:val="795"/>
    <w:uiPriority w:val="9"/>
    <w:unhideWhenUsed/>
    <w:qFormat/>
    <w:pPr>
      <w:keepLines/>
      <w:keepNext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87">
    <w:name w:val="Heading 8"/>
    <w:basedOn w:val="839"/>
    <w:next w:val="839"/>
    <w:link w:val="796"/>
    <w:uiPriority w:val="9"/>
    <w:unhideWhenUsed/>
    <w:qFormat/>
    <w:pPr>
      <w:keepLines/>
      <w:keepNext/>
      <w:spacing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88">
    <w:name w:val="Heading 9"/>
    <w:basedOn w:val="839"/>
    <w:next w:val="839"/>
    <w:link w:val="797"/>
    <w:uiPriority w:val="9"/>
    <w:unhideWhenUsed/>
    <w:qFormat/>
    <w:pPr>
      <w:keepLines/>
      <w:keepNext/>
      <w:spacing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89">
    <w:name w:val="Heading 1 Char"/>
    <w:basedOn w:val="840"/>
    <w:link w:val="780"/>
    <w:uiPriority w:val="9"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90">
    <w:name w:val="Heading 2 Char"/>
    <w:basedOn w:val="840"/>
    <w:link w:val="781"/>
    <w:uiPriority w:val="9"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91">
    <w:name w:val="Heading 3 Char"/>
    <w:basedOn w:val="840"/>
    <w:link w:val="782"/>
    <w:uiPriority w:val="9"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92">
    <w:name w:val="Heading 4 Char"/>
    <w:basedOn w:val="840"/>
    <w:link w:val="783"/>
    <w:uiPriority w:val="9"/>
    <w:rPr>
      <w:rFonts w:ascii="Arial" w:hAnsi="Arial" w:eastAsia="Arial" w:cs="Arial"/>
      <w:i/>
      <w:iCs/>
      <w:color w:val="0f4761" w:themeColor="accent1" w:themeShade="BF"/>
    </w:rPr>
  </w:style>
  <w:style w:type="character" w:styleId="793">
    <w:name w:val="Heading 5 Char"/>
    <w:basedOn w:val="840"/>
    <w:link w:val="784"/>
    <w:uiPriority w:val="9"/>
    <w:rPr>
      <w:rFonts w:ascii="Arial" w:hAnsi="Arial" w:eastAsia="Arial" w:cs="Arial"/>
      <w:color w:val="0f4761" w:themeColor="accent1" w:themeShade="BF"/>
    </w:rPr>
  </w:style>
  <w:style w:type="character" w:styleId="794">
    <w:name w:val="Heading 6 Char"/>
    <w:basedOn w:val="840"/>
    <w:link w:val="785"/>
    <w:uiPriority w:val="9"/>
    <w:rPr>
      <w:rFonts w:ascii="Arial" w:hAnsi="Arial" w:eastAsia="Arial" w:cs="Arial"/>
      <w:i/>
      <w:iCs/>
      <w:color w:val="595959" w:themeColor="text1" w:themeTint="A6"/>
    </w:rPr>
  </w:style>
  <w:style w:type="character" w:styleId="795">
    <w:name w:val="Heading 7 Char"/>
    <w:basedOn w:val="840"/>
    <w:link w:val="786"/>
    <w:uiPriority w:val="9"/>
    <w:rPr>
      <w:rFonts w:ascii="Arial" w:hAnsi="Arial" w:eastAsia="Arial" w:cs="Arial"/>
      <w:color w:val="595959" w:themeColor="text1" w:themeTint="A6"/>
    </w:rPr>
  </w:style>
  <w:style w:type="character" w:styleId="796">
    <w:name w:val="Heading 8 Char"/>
    <w:basedOn w:val="840"/>
    <w:link w:val="787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797">
    <w:name w:val="Heading 9 Char"/>
    <w:basedOn w:val="840"/>
    <w:link w:val="788"/>
    <w:uiPriority w:val="9"/>
    <w:rPr>
      <w:rFonts w:ascii="Arial" w:hAnsi="Arial" w:eastAsia="Arial" w:cs="Arial"/>
      <w:i/>
      <w:iCs/>
      <w:color w:val="272727" w:themeColor="text1" w:themeTint="D8"/>
    </w:rPr>
  </w:style>
  <w:style w:type="paragraph" w:styleId="798">
    <w:name w:val="Title"/>
    <w:basedOn w:val="839"/>
    <w:next w:val="839"/>
    <w:link w:val="799"/>
    <w:uiPriority w:val="10"/>
    <w:qFormat/>
    <w:pPr>
      <w:contextualSpacing/>
      <w:spacing w:after="80" w:line="240" w:lineRule="auto"/>
    </w:pPr>
    <w:rPr>
      <w:rFonts w:ascii="Arial" w:hAnsi="Arial" w:eastAsia="Arial" w:cs="Arial"/>
      <w:spacing w:val="-10"/>
      <w:sz w:val="56"/>
      <w:szCs w:val="56"/>
    </w:rPr>
  </w:style>
  <w:style w:type="character" w:styleId="799">
    <w:name w:val="Title Char"/>
    <w:basedOn w:val="840"/>
    <w:link w:val="798"/>
    <w:uiPriority w:val="10"/>
    <w:rPr>
      <w:rFonts w:ascii="Arial" w:hAnsi="Arial" w:eastAsia="Arial" w:cs="Arial"/>
      <w:spacing w:val="-10"/>
      <w:sz w:val="56"/>
      <w:szCs w:val="56"/>
    </w:rPr>
  </w:style>
  <w:style w:type="paragraph" w:styleId="800">
    <w:name w:val="Subtitle"/>
    <w:basedOn w:val="839"/>
    <w:next w:val="839"/>
    <w:link w:val="801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styleId="801">
    <w:name w:val="Subtitle Char"/>
    <w:basedOn w:val="840"/>
    <w:link w:val="800"/>
    <w:uiPriority w:val="11"/>
    <w:rPr>
      <w:color w:val="595959" w:themeColor="text1" w:themeTint="A6"/>
      <w:spacing w:val="15"/>
      <w:sz w:val="28"/>
      <w:szCs w:val="28"/>
    </w:rPr>
  </w:style>
  <w:style w:type="paragraph" w:styleId="802">
    <w:name w:val="Quote"/>
    <w:basedOn w:val="839"/>
    <w:next w:val="839"/>
    <w:link w:val="803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03">
    <w:name w:val="Quote Char"/>
    <w:basedOn w:val="840"/>
    <w:link w:val="802"/>
    <w:uiPriority w:val="29"/>
    <w:rPr>
      <w:i/>
      <w:iCs/>
      <w:color w:val="404040" w:themeColor="text1" w:themeTint="BF"/>
    </w:rPr>
  </w:style>
  <w:style w:type="paragraph" w:styleId="804">
    <w:name w:val="List Paragraph"/>
    <w:basedOn w:val="839"/>
    <w:uiPriority w:val="34"/>
    <w:qFormat/>
    <w:pPr>
      <w:contextualSpacing/>
      <w:ind w:left="720"/>
    </w:pPr>
  </w:style>
  <w:style w:type="character" w:styleId="805">
    <w:name w:val="Intense Emphasis"/>
    <w:basedOn w:val="840"/>
    <w:uiPriority w:val="21"/>
    <w:qFormat/>
    <w:rPr>
      <w:i/>
      <w:iCs/>
      <w:color w:val="0f4761" w:themeColor="accent1" w:themeShade="BF"/>
    </w:rPr>
  </w:style>
  <w:style w:type="paragraph" w:styleId="806">
    <w:name w:val="Intense Quote"/>
    <w:basedOn w:val="839"/>
    <w:next w:val="839"/>
    <w:link w:val="807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807">
    <w:name w:val="Intense Quote Char"/>
    <w:basedOn w:val="840"/>
    <w:link w:val="806"/>
    <w:uiPriority w:val="30"/>
    <w:rPr>
      <w:i/>
      <w:iCs/>
      <w:color w:val="0f4761" w:themeColor="accent1" w:themeShade="BF"/>
    </w:rPr>
  </w:style>
  <w:style w:type="character" w:styleId="808">
    <w:name w:val="Intense Reference"/>
    <w:basedOn w:val="84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809">
    <w:name w:val="No Spacing"/>
    <w:basedOn w:val="839"/>
    <w:uiPriority w:val="1"/>
    <w:qFormat/>
    <w:pPr>
      <w:spacing w:after="0" w:line="240" w:lineRule="auto"/>
    </w:pPr>
  </w:style>
  <w:style w:type="character" w:styleId="810">
    <w:name w:val="Subtle Emphasis"/>
    <w:basedOn w:val="840"/>
    <w:uiPriority w:val="19"/>
    <w:qFormat/>
    <w:rPr>
      <w:i/>
      <w:iCs/>
      <w:color w:val="404040" w:themeColor="text1" w:themeTint="BF"/>
    </w:rPr>
  </w:style>
  <w:style w:type="character" w:styleId="811">
    <w:name w:val="Emphasis"/>
    <w:basedOn w:val="840"/>
    <w:uiPriority w:val="20"/>
    <w:qFormat/>
    <w:rPr>
      <w:i/>
      <w:iCs/>
    </w:rPr>
  </w:style>
  <w:style w:type="character" w:styleId="812">
    <w:name w:val="Strong"/>
    <w:basedOn w:val="840"/>
    <w:uiPriority w:val="22"/>
    <w:qFormat/>
    <w:rPr>
      <w:b/>
      <w:bCs/>
    </w:rPr>
  </w:style>
  <w:style w:type="character" w:styleId="813">
    <w:name w:val="Subtle Reference"/>
    <w:basedOn w:val="840"/>
    <w:uiPriority w:val="31"/>
    <w:qFormat/>
    <w:rPr>
      <w:smallCaps/>
      <w:color w:val="5a5a5a" w:themeColor="text1" w:themeTint="A5"/>
    </w:rPr>
  </w:style>
  <w:style w:type="character" w:styleId="814">
    <w:name w:val="Book Title"/>
    <w:basedOn w:val="840"/>
    <w:uiPriority w:val="33"/>
    <w:qFormat/>
    <w:rPr>
      <w:b/>
      <w:bCs/>
      <w:i/>
      <w:iCs/>
      <w:spacing w:val="5"/>
    </w:rPr>
  </w:style>
  <w:style w:type="paragraph" w:styleId="815">
    <w:name w:val="Header"/>
    <w:basedOn w:val="839"/>
    <w:link w:val="816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816">
    <w:name w:val="Header Char"/>
    <w:basedOn w:val="840"/>
    <w:link w:val="815"/>
    <w:uiPriority w:val="99"/>
  </w:style>
  <w:style w:type="paragraph" w:styleId="817">
    <w:name w:val="Footer"/>
    <w:basedOn w:val="839"/>
    <w:link w:val="818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818">
    <w:name w:val="Footer Char"/>
    <w:basedOn w:val="840"/>
    <w:link w:val="817"/>
    <w:uiPriority w:val="99"/>
  </w:style>
  <w:style w:type="paragraph" w:styleId="819">
    <w:name w:val="Caption"/>
    <w:basedOn w:val="839"/>
    <w:next w:val="839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820">
    <w:name w:val="footnote text"/>
    <w:basedOn w:val="839"/>
    <w:link w:val="82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21">
    <w:name w:val="Footnote Text Char"/>
    <w:basedOn w:val="840"/>
    <w:link w:val="820"/>
    <w:uiPriority w:val="99"/>
    <w:semiHidden/>
    <w:rPr>
      <w:sz w:val="20"/>
      <w:szCs w:val="20"/>
    </w:rPr>
  </w:style>
  <w:style w:type="character" w:styleId="822">
    <w:name w:val="footnote reference"/>
    <w:basedOn w:val="840"/>
    <w:uiPriority w:val="99"/>
    <w:semiHidden/>
    <w:unhideWhenUsed/>
    <w:rPr>
      <w:vertAlign w:val="superscript"/>
    </w:rPr>
  </w:style>
  <w:style w:type="paragraph" w:styleId="823">
    <w:name w:val="endnote text"/>
    <w:basedOn w:val="839"/>
    <w:link w:val="82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24">
    <w:name w:val="Endnote Text Char"/>
    <w:basedOn w:val="840"/>
    <w:link w:val="823"/>
    <w:uiPriority w:val="99"/>
    <w:semiHidden/>
    <w:rPr>
      <w:sz w:val="20"/>
      <w:szCs w:val="20"/>
    </w:rPr>
  </w:style>
  <w:style w:type="character" w:styleId="825">
    <w:name w:val="endnote reference"/>
    <w:basedOn w:val="840"/>
    <w:uiPriority w:val="99"/>
    <w:semiHidden/>
    <w:unhideWhenUsed/>
    <w:rPr>
      <w:vertAlign w:val="superscript"/>
    </w:rPr>
  </w:style>
  <w:style w:type="character" w:styleId="826">
    <w:name w:val="Hyperlink"/>
    <w:basedOn w:val="840"/>
    <w:uiPriority w:val="99"/>
    <w:unhideWhenUsed/>
    <w:rPr>
      <w:color w:val="0563c1" w:themeColor="hyperlink"/>
      <w:u w:val="single"/>
    </w:rPr>
  </w:style>
  <w:style w:type="character" w:styleId="827">
    <w:name w:val="FollowedHyperlink"/>
    <w:basedOn w:val="840"/>
    <w:uiPriority w:val="99"/>
    <w:semiHidden/>
    <w:unhideWhenUsed/>
    <w:rPr>
      <w:color w:val="954f72" w:themeColor="followedHyperlink"/>
      <w:u w:val="single"/>
    </w:rPr>
  </w:style>
  <w:style w:type="paragraph" w:styleId="828">
    <w:name w:val="toc 1"/>
    <w:basedOn w:val="839"/>
    <w:next w:val="839"/>
    <w:uiPriority w:val="39"/>
    <w:unhideWhenUsed/>
    <w:pPr>
      <w:spacing w:after="100"/>
    </w:pPr>
  </w:style>
  <w:style w:type="paragraph" w:styleId="829">
    <w:name w:val="toc 2"/>
    <w:basedOn w:val="839"/>
    <w:next w:val="839"/>
    <w:uiPriority w:val="39"/>
    <w:unhideWhenUsed/>
    <w:pPr>
      <w:ind w:left="220"/>
      <w:spacing w:after="100"/>
    </w:pPr>
  </w:style>
  <w:style w:type="paragraph" w:styleId="830">
    <w:name w:val="toc 3"/>
    <w:basedOn w:val="839"/>
    <w:next w:val="839"/>
    <w:uiPriority w:val="39"/>
    <w:unhideWhenUsed/>
    <w:pPr>
      <w:ind w:left="440"/>
      <w:spacing w:after="100"/>
    </w:pPr>
  </w:style>
  <w:style w:type="paragraph" w:styleId="831">
    <w:name w:val="toc 4"/>
    <w:basedOn w:val="839"/>
    <w:next w:val="839"/>
    <w:uiPriority w:val="39"/>
    <w:unhideWhenUsed/>
    <w:pPr>
      <w:ind w:left="660"/>
      <w:spacing w:after="100"/>
    </w:pPr>
  </w:style>
  <w:style w:type="paragraph" w:styleId="832">
    <w:name w:val="toc 5"/>
    <w:basedOn w:val="839"/>
    <w:next w:val="839"/>
    <w:uiPriority w:val="39"/>
    <w:unhideWhenUsed/>
    <w:pPr>
      <w:ind w:left="880"/>
      <w:spacing w:after="100"/>
    </w:pPr>
  </w:style>
  <w:style w:type="paragraph" w:styleId="833">
    <w:name w:val="toc 6"/>
    <w:basedOn w:val="839"/>
    <w:next w:val="839"/>
    <w:uiPriority w:val="39"/>
    <w:unhideWhenUsed/>
    <w:pPr>
      <w:ind w:left="1100"/>
      <w:spacing w:after="100"/>
    </w:pPr>
  </w:style>
  <w:style w:type="paragraph" w:styleId="834">
    <w:name w:val="toc 7"/>
    <w:basedOn w:val="839"/>
    <w:next w:val="839"/>
    <w:uiPriority w:val="39"/>
    <w:unhideWhenUsed/>
    <w:pPr>
      <w:ind w:left="1320"/>
      <w:spacing w:after="100"/>
    </w:pPr>
  </w:style>
  <w:style w:type="paragraph" w:styleId="835">
    <w:name w:val="toc 8"/>
    <w:basedOn w:val="839"/>
    <w:next w:val="839"/>
    <w:uiPriority w:val="39"/>
    <w:unhideWhenUsed/>
    <w:pPr>
      <w:ind w:left="1540"/>
      <w:spacing w:after="100"/>
    </w:pPr>
  </w:style>
  <w:style w:type="paragraph" w:styleId="836">
    <w:name w:val="toc 9"/>
    <w:basedOn w:val="839"/>
    <w:next w:val="839"/>
    <w:uiPriority w:val="39"/>
    <w:unhideWhenUsed/>
    <w:pPr>
      <w:ind w:left="1760"/>
      <w:spacing w:after="100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qFormat/>
  </w:style>
  <w:style w:type="character" w:styleId="840" w:default="1">
    <w:name w:val="Default Paragraph Font"/>
    <w:uiPriority w:val="1"/>
    <w:semiHidden/>
    <w:unhideWhenUsed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Яценко Евгений Олегович</dc:creator>
  <cp:lastModifiedBy>a.sabanaev</cp:lastModifiedBy>
  <cp:revision>7</cp:revision>
  <dcterms:created xsi:type="dcterms:W3CDTF">2025-11-10T11:59:00Z</dcterms:created>
  <dcterms:modified xsi:type="dcterms:W3CDTF">2025-11-25T08:19:17Z</dcterms:modified>
</cp:coreProperties>
</file>